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  <w:r>
        <w:rPr>
          <w:rFonts w:ascii="Courier New" w:eastAsia="Courier New" w:hAnsi="Courier New" w:cs="Courier New"/>
          <w:b/>
          <w:sz w:val="28"/>
        </w:rPr>
        <w:t>РАССМОТРЕНИЕ ВОПРОСОВ АДМИНИСТРАЦИИ ДОУ С УЧЕТОМ МНЕНИЯ (по согласованию) ПРОФСОЮЗНОГО ОРГАНА (СТ. 371 ТК РФ).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1.             Работа </w:t>
      </w:r>
      <w:proofErr w:type="gramStart"/>
      <w:r>
        <w:rPr>
          <w:rFonts w:ascii="Courier New" w:eastAsia="Courier New" w:hAnsi="Courier New" w:cs="Courier New"/>
        </w:rPr>
        <w:t>в соответствии с коллективным договором с первичной профсоюзной организацией с уведомительной регистрацией в органе</w:t>
      </w:r>
      <w:proofErr w:type="gramEnd"/>
      <w:r>
        <w:rPr>
          <w:rFonts w:ascii="Courier New" w:eastAsia="Courier New" w:hAnsi="Courier New" w:cs="Courier New"/>
        </w:rPr>
        <w:t xml:space="preserve"> по труду. Ст. 40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2.             Увольнение работника, являющегося членом профсоюза, по п.2, подпункту «г» п.3, п.5 ст.81 ТК РФ и исполнение ст. 82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3.             Привлечение к сверхурочным работам. Ст. 99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4.             Разделение рабочего времени на части. Ст. 105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5.             Запрещение работы в  выходные и нерабочие праздничные дни. Исключительные случаи привлечения работников к работе в выходные и нерабочие праздничные дни. Ст. 113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6.             Очередность предоставления ежегодных оплачиваемых отпусков. Ст.123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7.             Установление заработной платы. СТ. 135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8.             Утверждение формы расчетного листка. Ст. 136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9.             Стимулирующие выплаты. Ст. 144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10.        Конкретные размеры повышенной заработной платы, установленной работодателем работникам, занятым на тяжелых работах, работах с вредными или опасными или иными особыми условиями. Ст.147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11.         Оплата труда в ночное время. Ст.154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12.         Применение систем нормирования труда. Ст. 159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13.         Предоставление членам комиссии по трудовым спорам свободного времени для участия в работе указанных комиссий с сохранением среднего заработка. Ст. 171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14.         Принятие необходимых мер при угрозе массовых увольнений. Ст. 180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15.          Утверждение правил внутреннего трудового распорядка. Ст. 190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16.         Учет времени, необходимого для выработки мнения профсоюзного органа при определении дисциплинарного взыскания. Ст. 193, 194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17.         Определение форм профессиональной подготовки, переподготовки и повышения квалификации работников, составления перечня необходимых профессий и специальностей с учетом мнения представительного органа работников. Ст. 196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18.         Председатель профкома входит в состав комиссии по охране труда. Ст. 218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19.         Председатель профкома входит в комиссию по расследованию несчастного случая на производстве. Ст. 229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20.         Профсоюзный орган ОУ при выявлении нарушения ТК РФ должен обращаться в государственную инспекцию труда. Ст. 357,365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21.         Профком контролирует соблюдение администрацией ОУ ТК и иных нормативных правовых актов, содержащих нормы трудового права. Ст. 370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22.         При принятии локальных нормативных актов, содержащих нормы трудового права, учитывается мнение профсоюзного органа. Ст. 372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23.         Профком соблюдает правильность оформления и мотивировки своего мнения. Ст. 372, 373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24.         Работодатель соблюдает гарантии работникам, входящим в состав выборных профсоюзных органов и не освобожденным от основной работы. Ст. 374 ТК РФ.     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25.         Работникам, являвшимися членами выборного профсоюзного органа, сохраняются гарантии права на труд. Ст. 376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26.        Профком следит за правильностью выдвижения и рассмотрения требований работников. Ст. 399,400,401, гл. 61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27.         Работодатель обязан создать условия для осуществления деятельности выборного профсоюзного органа. Ст. 377 ТК РФ.</w:t>
      </w: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5D3742" w:rsidRDefault="005D3742" w:rsidP="005D3742">
      <w:pPr>
        <w:spacing w:after="0" w:line="240" w:lineRule="auto"/>
        <w:rPr>
          <w:rFonts w:ascii="Courier New" w:eastAsia="Courier New" w:hAnsi="Courier New" w:cs="Courier New"/>
        </w:rPr>
      </w:pPr>
    </w:p>
    <w:p w:rsidR="00CE590D" w:rsidRDefault="00CE590D"/>
    <w:sectPr w:rsidR="00CE5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>
    <w:useFELayout/>
  </w:compat>
  <w:rsids>
    <w:rsidRoot w:val="005D3742"/>
    <w:rsid w:val="005D3742"/>
    <w:rsid w:val="00CE5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2014-11-19T11:54:00Z</dcterms:created>
  <dcterms:modified xsi:type="dcterms:W3CDTF">2014-11-19T11:55:00Z</dcterms:modified>
</cp:coreProperties>
</file>